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0D2" w:rsidRDefault="009F20D2" w:rsidP="009F20D2">
      <w:pPr>
        <w:shd w:val="clear" w:color="auto" w:fill="FFFFFF"/>
        <w:jc w:val="both"/>
        <w:rPr>
          <w:rFonts w:ascii="Verdana" w:hAnsi="Verdana"/>
          <w:color w:val="222222"/>
        </w:rPr>
      </w:pPr>
      <w:r>
        <w:rPr>
          <w:rFonts w:ascii="Verdana" w:hAnsi="Verdana"/>
          <w:color w:val="000000"/>
          <w:bdr w:val="none" w:sz="0" w:space="0" w:color="auto" w:frame="1"/>
          <w:lang w:val="en-US"/>
        </w:rPr>
        <w:t>TECA:2023-</w:t>
      </w:r>
      <w:proofErr w:type="gramStart"/>
      <w:r>
        <w:rPr>
          <w:rFonts w:ascii="Verdana" w:hAnsi="Verdana"/>
          <w:color w:val="000000"/>
          <w:bdr w:val="none" w:sz="0" w:space="0" w:color="auto" w:frame="1"/>
          <w:lang w:val="en-US"/>
        </w:rPr>
        <w:t>24:CIR</w:t>
      </w:r>
      <w:proofErr w:type="gramEnd"/>
      <w:r>
        <w:rPr>
          <w:rFonts w:ascii="Verdana" w:hAnsi="Verdana"/>
          <w:color w:val="000000"/>
          <w:bdr w:val="none" w:sz="0" w:space="0" w:color="auto" w:frame="1"/>
          <w:lang w:val="en-US"/>
        </w:rPr>
        <w:t>/33                                                   </w:t>
      </w:r>
      <w:r>
        <w:rPr>
          <w:rFonts w:ascii="Verdana" w:hAnsi="Verdana"/>
          <w:color w:val="222222"/>
        </w:rPr>
        <w:t xml:space="preserve">            </w:t>
      </w:r>
    </w:p>
    <w:p w:rsidR="009F20D2" w:rsidRDefault="009F20D2" w:rsidP="009F20D2">
      <w:pPr>
        <w:shd w:val="clear" w:color="auto" w:fill="FFFFFF"/>
        <w:jc w:val="both"/>
        <w:rPr>
          <w:rFonts w:ascii="Verdana" w:hAnsi="Verdana"/>
          <w:color w:val="222222"/>
        </w:rPr>
      </w:pPr>
      <w:r>
        <w:rPr>
          <w:rFonts w:ascii="Verdana" w:hAnsi="Verdana"/>
          <w:color w:val="000000"/>
          <w:bdr w:val="none" w:sz="0" w:space="0" w:color="auto" w:frame="1"/>
          <w:lang w:val="en-US"/>
        </w:rPr>
        <w:t>July 6, 2023</w:t>
      </w:r>
    </w:p>
    <w:p w:rsidR="009F20D2" w:rsidRDefault="009F20D2" w:rsidP="009F20D2">
      <w:pPr>
        <w:shd w:val="clear" w:color="auto" w:fill="FFFFFF"/>
        <w:spacing w:after="120"/>
        <w:jc w:val="both"/>
        <w:rPr>
          <w:rFonts w:ascii="Verdana" w:hAnsi="Verdana"/>
          <w:color w:val="222222"/>
        </w:rPr>
      </w:pPr>
      <w:r>
        <w:rPr>
          <w:rFonts w:ascii="Verdana" w:hAnsi="Verdana"/>
          <w:color w:val="000000"/>
          <w:bdr w:val="none" w:sz="0" w:space="0" w:color="auto" w:frame="1"/>
          <w:lang w:val="en-US"/>
        </w:rPr>
        <w:t> </w:t>
      </w:r>
    </w:p>
    <w:p w:rsidR="009F20D2" w:rsidRDefault="009F20D2" w:rsidP="009F20D2">
      <w:pPr>
        <w:shd w:val="clear" w:color="auto" w:fill="FFFFFF"/>
        <w:spacing w:after="120"/>
        <w:jc w:val="both"/>
        <w:rPr>
          <w:rFonts w:ascii="Verdana" w:hAnsi="Verdana"/>
          <w:color w:val="222222"/>
        </w:rPr>
      </w:pPr>
    </w:p>
    <w:p w:rsidR="009F20D2" w:rsidRDefault="009F20D2" w:rsidP="009F20D2">
      <w:pPr>
        <w:shd w:val="clear" w:color="auto" w:fill="FFFFFF"/>
        <w:jc w:val="center"/>
        <w:rPr>
          <w:rFonts w:ascii="Verdana" w:hAnsi="Verdana"/>
          <w:color w:val="222222"/>
        </w:rPr>
      </w:pPr>
      <w:r>
        <w:rPr>
          <w:rFonts w:ascii="Verdana" w:hAnsi="Verdana"/>
          <w:b/>
          <w:bCs/>
          <w:color w:val="000000"/>
          <w:u w:val="single"/>
          <w:bdr w:val="none" w:sz="0" w:space="0" w:color="auto" w:frame="1"/>
          <w:lang w:val="en-US"/>
        </w:rPr>
        <w:t>CIRCULAR</w:t>
      </w:r>
    </w:p>
    <w:p w:rsidR="009F20D2" w:rsidRDefault="009F20D2" w:rsidP="009F20D2">
      <w:pPr>
        <w:pStyle w:val="BodyText"/>
        <w:spacing w:line="252" w:lineRule="auto"/>
        <w:ind w:left="720" w:right="1188" w:hanging="720"/>
        <w:jc w:val="both"/>
        <w:rPr>
          <w:rFonts w:ascii="Verdana" w:hAnsi="Verdana"/>
        </w:rPr>
      </w:pPr>
      <w:r>
        <w:rPr>
          <w:rFonts w:ascii="Verdana" w:hAnsi="Verdana"/>
        </w:rPr>
        <w:t>To,</w:t>
      </w:r>
    </w:p>
    <w:p w:rsidR="009F20D2" w:rsidRDefault="009F20D2" w:rsidP="009F20D2">
      <w:pPr>
        <w:pStyle w:val="BodyText"/>
        <w:spacing w:line="252" w:lineRule="auto"/>
        <w:ind w:left="720" w:right="1188" w:hanging="720"/>
        <w:jc w:val="both"/>
        <w:rPr>
          <w:rFonts w:ascii="Verdana" w:hAnsi="Verdana"/>
        </w:rPr>
      </w:pPr>
      <w:r>
        <w:rPr>
          <w:rFonts w:ascii="Verdana" w:hAnsi="Verdana"/>
        </w:rPr>
        <w:t>All Members</w:t>
      </w:r>
    </w:p>
    <w:p w:rsidR="009F20D2" w:rsidRDefault="009F20D2" w:rsidP="009F20D2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Sub: Measures relating to Safety and Electric Supply</w:t>
      </w:r>
    </w:p>
    <w:p w:rsidR="009F20D2" w:rsidRDefault="009F20D2" w:rsidP="009F20D2">
      <w:pPr>
        <w:rPr>
          <w:rFonts w:ascii="Verdana" w:hAnsi="Verdana"/>
          <w:lang w:val="en-US"/>
        </w:rPr>
      </w:pPr>
    </w:p>
    <w:p w:rsidR="009F20D2" w:rsidRDefault="009F20D2" w:rsidP="009F20D2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Ref: CEA Notification dated 8</w:t>
      </w:r>
      <w:r>
        <w:rPr>
          <w:rFonts w:ascii="Verdana" w:hAnsi="Verdana"/>
          <w:vertAlign w:val="superscript"/>
          <w:lang w:val="en-US"/>
        </w:rPr>
        <w:t>th</w:t>
      </w:r>
      <w:r>
        <w:rPr>
          <w:rFonts w:ascii="Verdana" w:hAnsi="Verdana"/>
          <w:lang w:val="en-US"/>
        </w:rPr>
        <w:t xml:space="preserve"> June 2023</w:t>
      </w:r>
    </w:p>
    <w:p w:rsidR="009F20D2" w:rsidRDefault="009F20D2" w:rsidP="009F20D2">
      <w:pPr>
        <w:rPr>
          <w:rFonts w:ascii="Verdana" w:hAnsi="Verdana"/>
        </w:rPr>
      </w:pPr>
    </w:p>
    <w:p w:rsidR="009F20D2" w:rsidRDefault="009F20D2" w:rsidP="009F20D2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Dear Members,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Please find below CEA Regulations 2023, Measures relating to Safety and Electric Supply. These regulations are regarding Electrical Inspectorate (CEIG).  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HT Electrical Installations below 1000 kVA demand currently are using AB switches, which may require change to Circuit Breaker/ Vacuum Circuit Breakers (VCB) depending upon to the contracted load. According to </w:t>
      </w:r>
      <w:proofErr w:type="gramStart"/>
      <w:r>
        <w:rPr>
          <w:rFonts w:ascii="Verdana" w:hAnsi="Verdana"/>
          <w:lang w:val="en-US"/>
        </w:rPr>
        <w:t>this regulations</w:t>
      </w:r>
      <w:proofErr w:type="gramEnd"/>
      <w:r>
        <w:rPr>
          <w:rFonts w:ascii="Verdana" w:hAnsi="Verdana"/>
          <w:lang w:val="en-US"/>
        </w:rPr>
        <w:t xml:space="preserve"> all HT consumers irrespective of their demand need to install ‘Circuit Breakers’. Electrical installations may require to increase distance between pole &amp; transformer, which is a major change in HT side and may require stoppage of supply for construction, curing and changeover.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Also members may note the changes in regulations and Salient Features of these CEA Regulations </w:t>
      </w:r>
      <w:proofErr w:type="gramStart"/>
      <w:r>
        <w:rPr>
          <w:rFonts w:ascii="Verdana" w:hAnsi="Verdana"/>
          <w:lang w:val="en-US"/>
        </w:rPr>
        <w:t>are</w:t>
      </w:r>
      <w:proofErr w:type="gramEnd"/>
      <w:r>
        <w:rPr>
          <w:rFonts w:ascii="Verdana" w:hAnsi="Verdana"/>
          <w:lang w:val="en-US"/>
        </w:rPr>
        <w:t xml:space="preserve"> New/ amendment in the following areas are: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3. Designated person to operate and carry out the work on electrical lines and apparatus.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4. Inspection of record of designated person.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5. Electrical Safety Officer.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6. Chartered Electrical Safety Engineer.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7. Safety measures for operation and maintenance of generating station.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8. Safety measures for operation and maintenance of transmission and distribution systems.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9. Training and Certification of personnel engaged for operation and maintenance at Load </w:t>
      </w:r>
      <w:proofErr w:type="spellStart"/>
      <w:r>
        <w:rPr>
          <w:rFonts w:ascii="Verdana" w:hAnsi="Verdana"/>
          <w:lang w:val="en-US"/>
        </w:rPr>
        <w:t>Despatch</w:t>
      </w:r>
      <w:proofErr w:type="spellEnd"/>
      <w:r>
        <w:rPr>
          <w:rFonts w:ascii="Verdana" w:hAnsi="Verdana"/>
          <w:lang w:val="en-US"/>
        </w:rPr>
        <w:t xml:space="preserve"> </w:t>
      </w:r>
      <w:proofErr w:type="spellStart"/>
      <w:r>
        <w:rPr>
          <w:rFonts w:ascii="Verdana" w:hAnsi="Verdana"/>
          <w:lang w:val="en-US"/>
        </w:rPr>
        <w:t>Centres</w:t>
      </w:r>
      <w:proofErr w:type="spellEnd"/>
      <w:r>
        <w:rPr>
          <w:rFonts w:ascii="Verdana" w:hAnsi="Verdana"/>
          <w:lang w:val="en-US"/>
        </w:rPr>
        <w:t>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10. Keeping of records and inspection thereof.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11. Deposit of maps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12. Deposit of printed copies.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13. Plan for area of supply to be made and kept open for inspection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>14. General safety requirements pertaining to construction, installation, protection, operation and maintenance of electric supply lines and apparatus.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15. Service lines and apparatus on consumer’s premises.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16. Switchgear on consumer’s premises.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17. Identification of earthed and earthed neutral conductors and position of switches and switchgear therein.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18. Earthed terminal on consumer’s premises.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19. Accessibility to bare conductors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20. Danger Notices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21. Handling of electric supply lines and apparatus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22. Supply to vehicles and cranes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23. Cables for portable or transportable apparatus.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24. Cables protected by bituminous materials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25. Street boxes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26. Distinction of different circuits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27. Distinction of the installations having more than one feed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28. Accidental charging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29. Provisions applicable to protective equipment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30. Display of instructions for resuscitation of persons suffering from electric shock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31. Precautions to be adopted by consumers, owners, occupiers, electrical contractors, electrical workmen and suppliers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32. Periodic inspection and testing of installations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33. Testing of consumer’s installation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34. Generating units required to be inspected by Electrical Inspector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35. Precautions against leakage before connection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36. Leakage on consumer’s premises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37. Supply and use of electricity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38. Provisions for supply and use of electricity in </w:t>
      </w:r>
      <w:proofErr w:type="spellStart"/>
      <w:r>
        <w:rPr>
          <w:rFonts w:ascii="Verdana" w:hAnsi="Verdana"/>
          <w:lang w:val="en-US"/>
        </w:rPr>
        <w:t>multi-storeyed</w:t>
      </w:r>
      <w:proofErr w:type="spellEnd"/>
      <w:r>
        <w:rPr>
          <w:rFonts w:ascii="Verdana" w:hAnsi="Verdana"/>
          <w:lang w:val="en-US"/>
        </w:rPr>
        <w:t xml:space="preserve"> building more than fifteen </w:t>
      </w:r>
      <w:proofErr w:type="spellStart"/>
      <w:r>
        <w:rPr>
          <w:rFonts w:ascii="Verdana" w:hAnsi="Verdana"/>
          <w:lang w:val="en-US"/>
        </w:rPr>
        <w:t>metre</w:t>
      </w:r>
      <w:proofErr w:type="spellEnd"/>
      <w:r>
        <w:rPr>
          <w:rFonts w:ascii="Verdana" w:hAnsi="Verdana"/>
          <w:lang w:val="en-US"/>
        </w:rPr>
        <w:t xml:space="preserve"> in height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39. Conditions applicable to installations of voltage exceeding 250 Volts.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40. Appeal to Electrical Inspector in regard to defects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41. Precautions against failure of supply and notice of failures.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42. Test of insulation resistance.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43. Connection with earth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44. Residual Current Device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45. Approval by the Electrical Inspector and self-certification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46. Use of electricity at voltage exceeding 650 V.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47. Inter-locks and protection for use of electricity at voltage exceeding 650 V.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48. Testing, Operation and Maintenance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49. Precautions to be taken against excess leakage in case of metal sheathed electric supply lines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50. Connection with earth for apparatus exceeding 650 V.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51. General conditions for transformation and control of electricity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>52. Pole type substations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53. Condensers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54. Supply to luminous tube sign installations of voltage exceeding 650 V but not exceeding 33 kV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55. Supply to electrode boilers of voltage exceeding 650 V but not exceeding 33 kV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56. Supply to X-ray and high frequency installations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57. Material and strength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58. Joints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59. Maximum stresses and factors of safety.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60. Clearance in air of the lowest conductor of overhead lines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61. Clearance between conductors and trolley wires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62. Clearance from buildings of lines of voltage and service lines not exceeding 650 V.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63. Clearances from buildings of lines of voltage exceeding 650 V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64. Conductors at different voltages on same supports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65. Erection or alteration of buildings, structures, flood banks and elevation of roads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66. Transporting and storing of material near electric lines.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67. General clearances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68. Routes in proximity to airport or aerodromes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69. Maximum interval between supports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70. Conditions to apply where telecommunication lines and power lines are carried on same supports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71. Lines crossing or approaching each other and lines Crossing Street and road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72. Guarding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73. Service lines from overhead lines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74. </w:t>
      </w:r>
      <w:proofErr w:type="spellStart"/>
      <w:r>
        <w:rPr>
          <w:rFonts w:ascii="Verdana" w:hAnsi="Verdana"/>
          <w:lang w:val="en-US"/>
        </w:rPr>
        <w:t>Earthing</w:t>
      </w:r>
      <w:proofErr w:type="spellEnd"/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75. Anti-climbing devices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76. Safety and protective devices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77. Protection against lightning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78. Unused overhead lines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79. Laying of cables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80. Protection against electromagnetic interference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82. Voltage of supply to vehicle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83. Insulation of lines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84. Insulation of returns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85. Proximity to metallic pipes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86. Difference of potential on return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87. Leakage on conduit system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88. Leakage on system other than conduit system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89. Passengers not to have access to electric circuit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90. Isolation of sections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>91. Minimum size and strength of trolley wire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92. Height of trolley wire and length of span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93. </w:t>
      </w:r>
      <w:proofErr w:type="spellStart"/>
      <w:r>
        <w:rPr>
          <w:rFonts w:ascii="Verdana" w:hAnsi="Verdana"/>
          <w:lang w:val="en-US"/>
        </w:rPr>
        <w:t>Earthing</w:t>
      </w:r>
      <w:proofErr w:type="spellEnd"/>
      <w:r>
        <w:rPr>
          <w:rFonts w:ascii="Verdana" w:hAnsi="Verdana"/>
          <w:lang w:val="en-US"/>
        </w:rPr>
        <w:t xml:space="preserve"> of guard wires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94. Proximity to magnetic observatories and laboratories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95. Records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97. Responsibility for observance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98. Notices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99. Plans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100. Lighting, overhead lines, communication and fire precautions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101. Isolation and fixing of transformer and switchgear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102. Method of </w:t>
      </w:r>
      <w:proofErr w:type="spellStart"/>
      <w:r>
        <w:rPr>
          <w:rFonts w:ascii="Verdana" w:hAnsi="Verdana"/>
          <w:lang w:val="en-US"/>
        </w:rPr>
        <w:t>earthing</w:t>
      </w:r>
      <w:proofErr w:type="spellEnd"/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103. Protective equipment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104. Voltage limits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105. Transformers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106. Switchgear and terminals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107. Disconnection of supply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108. Cables.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109. Flexible cables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110. Portable and transportable mac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111. Sundry precautions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112. Precautions where gas exists.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113. Shot-firing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114. </w:t>
      </w:r>
      <w:proofErr w:type="spellStart"/>
      <w:r>
        <w:rPr>
          <w:rFonts w:ascii="Verdana" w:hAnsi="Verdana"/>
          <w:lang w:val="en-US"/>
        </w:rPr>
        <w:t>Signalling</w:t>
      </w:r>
      <w:proofErr w:type="spellEnd"/>
      <w:r>
        <w:rPr>
          <w:rFonts w:ascii="Verdana" w:hAnsi="Verdana"/>
          <w:lang w:val="en-US"/>
        </w:rPr>
        <w:t>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115. Haulage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116. </w:t>
      </w:r>
      <w:proofErr w:type="spellStart"/>
      <w:r>
        <w:rPr>
          <w:rFonts w:ascii="Verdana" w:hAnsi="Verdana"/>
          <w:lang w:val="en-US"/>
        </w:rPr>
        <w:t>Earthing</w:t>
      </w:r>
      <w:proofErr w:type="spellEnd"/>
      <w:r>
        <w:rPr>
          <w:rFonts w:ascii="Verdana" w:hAnsi="Verdana"/>
          <w:lang w:val="en-US"/>
        </w:rPr>
        <w:t xml:space="preserve"> of neutral points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117. Supervision.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118. Training of personnel engaged for operation and maintenance of electrical installations in mines and oilfields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119. Additional safety requirements for renewable generating stations. 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120. Safety requirements for biomass and waste to energy installations.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121. Safety requirements for solar installations.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121 (4) Requirement to prevent fire for solar installations.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122. Safety requirements for wind energy installations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123. Additional safety requirements for electric vehicle charging station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124. General safety requirements for electric vehicle charging station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125. Earth protection system for the charging stations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126. Requirement to prevent fire for electric vehicle charging station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127. Testing of charging station.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128. Maintenance of records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129. Additional safety requirements for high voltage direct current.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130. General safety requirements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131. Fencing of filter banks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132. </w:t>
      </w:r>
      <w:proofErr w:type="spellStart"/>
      <w:r>
        <w:rPr>
          <w:rFonts w:ascii="Verdana" w:hAnsi="Verdana"/>
          <w:lang w:val="en-US"/>
        </w:rPr>
        <w:t>Earthing</w:t>
      </w:r>
      <w:proofErr w:type="spellEnd"/>
      <w:r>
        <w:rPr>
          <w:rFonts w:ascii="Verdana" w:hAnsi="Verdana"/>
          <w:lang w:val="en-US"/>
        </w:rPr>
        <w:t xml:space="preserve"> requirements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>133. Additional safety requirements for gas insulated substation.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136. Deviations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I</w:t>
      </w: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</w:p>
    <w:p w:rsidR="009F20D2" w:rsidRDefault="009F20D2" w:rsidP="009F20D2">
      <w:pPr>
        <w:pStyle w:val="ListParagraph"/>
        <w:numPr>
          <w:ilvl w:val="0"/>
          <w:numId w:val="2"/>
        </w:numPr>
        <w:spacing w:line="252" w:lineRule="auto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Handling of electric supply lines and apparatus</w:t>
      </w:r>
    </w:p>
    <w:p w:rsidR="009F20D2" w:rsidRDefault="009F20D2" w:rsidP="009F20D2">
      <w:pPr>
        <w:pStyle w:val="ListParagraph"/>
        <w:numPr>
          <w:ilvl w:val="0"/>
          <w:numId w:val="2"/>
        </w:numPr>
        <w:spacing w:after="160" w:line="252" w:lineRule="auto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Handling high voltage direct current apparatus for carrying out shutdown work or testing</w:t>
      </w:r>
    </w:p>
    <w:p w:rsidR="009F20D2" w:rsidRDefault="009F20D2" w:rsidP="009F20D2">
      <w:pPr>
        <w:pStyle w:val="ListParagraph"/>
        <w:numPr>
          <w:ilvl w:val="0"/>
          <w:numId w:val="2"/>
        </w:numPr>
        <w:spacing w:after="160" w:line="252" w:lineRule="auto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Handling Gas Insulated Switchgear (GIS) apparatus for carrying out shutdown work or testing</w:t>
      </w:r>
    </w:p>
    <w:p w:rsidR="009F20D2" w:rsidRDefault="009F20D2" w:rsidP="009F20D2">
      <w:pPr>
        <w:pStyle w:val="ListParagraph"/>
        <w:numPr>
          <w:ilvl w:val="0"/>
          <w:numId w:val="2"/>
        </w:numPr>
        <w:spacing w:after="160" w:line="252" w:lineRule="auto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II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Forms of Inspection Report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Certificate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III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Form for obtaining test results by supplier at each supply point to consumer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IV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Form for notice in respect of failure of supply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V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Minimum safety working clearances where electricity at voltage exceeding 650 V is supplied, converted, transformed or used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VI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Minimum safety clearances to be maintained for bare conductors or live parts of any apparatus in outdoor HVDC substations, excluding overhead lines of HVDC installations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VII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Form for reporting failure of transformer &amp; reactor of 220 kV and above voltage class</w:t>
      </w:r>
    </w:p>
    <w:p w:rsidR="009F20D2" w:rsidRDefault="009F20D2" w:rsidP="009F20D2">
      <w:pPr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VIII A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Minimum clearance in air above ground and across road surface of Highways or roads or railway corridors or navigational or non-navigational rivers for lowest conductor of an alternating current overhead lines, including service lines of nominal voltage system.</w:t>
      </w: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lastRenderedPageBreak/>
        <w:t>Under Schedule VIII B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The minimum clearance in air above ground and across road surface of Highways, or Minimum clearance between conductor and Rail Level or navigational or non-navigational rivers for lowest conductor of high voltage direct current overhead line of nominal voltage system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jc w:val="both"/>
        <w:rPr>
          <w:rFonts w:ascii="Verdana" w:hAnsi="Verdana"/>
          <w:b/>
          <w:bCs/>
          <w:u w:val="single"/>
          <w:lang w:val="en-US"/>
        </w:rPr>
      </w:pPr>
      <w:r>
        <w:rPr>
          <w:rFonts w:ascii="Verdana" w:hAnsi="Verdana"/>
          <w:b/>
          <w:bCs/>
          <w:u w:val="single"/>
          <w:lang w:val="en-US"/>
        </w:rPr>
        <w:t>Under Schedule VIII C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Ground, Vertical and Horizontal clearances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Members are requested to go through the Regulation thoroughly and send your suggestion if any to TECA through e-mail.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With Warm Regards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N. Pradeep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President</w:t>
      </w: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</w:p>
    <w:p w:rsidR="009F20D2" w:rsidRDefault="009F20D2" w:rsidP="009F20D2">
      <w:pPr>
        <w:autoSpaceDE w:val="0"/>
        <w:autoSpaceDN w:val="0"/>
        <w:jc w:val="both"/>
        <w:rPr>
          <w:rFonts w:ascii="Verdana" w:hAnsi="Verdana"/>
          <w:lang w:val="en-US"/>
        </w:rPr>
      </w:pPr>
      <w:proofErr w:type="spellStart"/>
      <w:r>
        <w:rPr>
          <w:rFonts w:ascii="Verdana" w:hAnsi="Verdana"/>
          <w:lang w:val="en-US"/>
        </w:rPr>
        <w:t>Encl</w:t>
      </w:r>
      <w:proofErr w:type="spellEnd"/>
      <w:r>
        <w:rPr>
          <w:rFonts w:ascii="Verdana" w:hAnsi="Verdana"/>
          <w:lang w:val="en-US"/>
        </w:rPr>
        <w:t>: 1.       Soft Copy of CEA Regulations</w:t>
      </w:r>
    </w:p>
    <w:p w:rsidR="00A2201A" w:rsidRPr="0084041A" w:rsidRDefault="009F20D2" w:rsidP="009F20D2">
      <w:pPr>
        <w:jc w:val="both"/>
        <w:rPr>
          <w:rFonts w:ascii="Verdana" w:hAnsi="Verdana"/>
        </w:rPr>
      </w:pPr>
      <w:r>
        <w:rPr>
          <w:rFonts w:ascii="Verdana" w:hAnsi="Verdana"/>
          <w:lang w:val="en-US"/>
        </w:rPr>
        <w:t>          2.       VCB Distance</w:t>
      </w:r>
    </w:p>
    <w:p w:rsidR="00A2201A" w:rsidRDefault="00A2201A" w:rsidP="00A2201A"/>
    <w:p w:rsidR="0031094F" w:rsidRDefault="0031094F"/>
    <w:p w:rsidR="00E96FE4" w:rsidRDefault="00E96FE4">
      <w: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50.25pt" o:ole="">
            <v:imagedata r:id="rId7" o:title=""/>
          </v:shape>
          <o:OLEObject Type="Embed" ProgID="Acrobat.Document.DC" ShapeID="_x0000_i1030" DrawAspect="Icon" ObjectID="_1750236799" r:id="rId8"/>
        </w:object>
      </w:r>
      <w:r>
        <w:t xml:space="preserve">                        </w:t>
      </w:r>
      <w:bookmarkStart w:id="0" w:name="_GoBack"/>
      <w:bookmarkEnd w:id="0"/>
      <w:r>
        <w:t xml:space="preserve">   </w:t>
      </w:r>
      <w:r>
        <w:object w:dxaOrig="1541" w:dyaOrig="1000">
          <v:shape id="_x0000_i1031" type="#_x0000_t75" style="width:77.25pt;height:50.25pt" o:ole="">
            <v:imagedata r:id="rId9" o:title=""/>
          </v:shape>
          <o:OLEObject Type="Embed" ProgID="Acrobat.Document.DC" ShapeID="_x0000_i1031" DrawAspect="Icon" ObjectID="_1750236800" r:id="rId10"/>
        </w:object>
      </w:r>
    </w:p>
    <w:sectPr w:rsidR="00E96FE4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027" w:rsidRDefault="003A6027">
      <w:r>
        <w:separator/>
      </w:r>
    </w:p>
  </w:endnote>
  <w:endnote w:type="continuationSeparator" w:id="0">
    <w:p w:rsidR="003A6027" w:rsidRDefault="003A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027" w:rsidRDefault="003A6027">
      <w:r>
        <w:separator/>
      </w:r>
    </w:p>
  </w:footnote>
  <w:footnote w:type="continuationSeparator" w:id="0">
    <w:p w:rsidR="003A6027" w:rsidRDefault="003A6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E80" w:rsidRDefault="00A2201A" w:rsidP="001B5E80">
    <w:pPr>
      <w:rPr>
        <w:rFonts w:ascii="Verdana" w:hAnsi="Verdana"/>
        <w:b/>
        <w:bCs/>
        <w:color w:val="0000CC"/>
        <w:sz w:val="24"/>
        <w:szCs w:val="24"/>
      </w:rPr>
    </w:pPr>
    <w:r>
      <w:rPr>
        <w:rFonts w:ascii="Verdana" w:hAnsi="Verdana"/>
        <w:b/>
        <w:bCs/>
        <w:noProof/>
        <w:color w:val="0000CC"/>
        <w:sz w:val="24"/>
        <w:szCs w:val="24"/>
      </w:rPr>
      <w:drawing>
        <wp:inline distT="0" distB="0" distL="0" distR="0" wp14:anchorId="59D8004A" wp14:editId="4E900A7F">
          <wp:extent cx="1581150" cy="457200"/>
          <wp:effectExtent l="0" t="0" r="0" b="0"/>
          <wp:docPr id="2" name="Picture 2" descr="cid:image002.jpg@01D7FD8A.514C2D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2.jpg@01D7FD8A.514C2D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b/>
        <w:bCs/>
        <w:color w:val="0000CC"/>
        <w:sz w:val="24"/>
        <w:szCs w:val="24"/>
      </w:rPr>
      <w:t>                                                             </w:t>
    </w:r>
    <w:r>
      <w:rPr>
        <w:rFonts w:ascii="Verdana" w:hAnsi="Verdana"/>
        <w:noProof/>
        <w:color w:val="0000CC"/>
        <w:sz w:val="32"/>
        <w:szCs w:val="32"/>
      </w:rPr>
      <w:drawing>
        <wp:inline distT="0" distB="0" distL="0" distR="0" wp14:anchorId="06EF8E65" wp14:editId="2F366D84">
          <wp:extent cx="885825" cy="742950"/>
          <wp:effectExtent l="0" t="0" r="9525" b="0"/>
          <wp:docPr id="3" name="Picture 3" descr="cid:image004.jpg@01D97120.A2E97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4.jpg@01D97120.A2E9700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b/>
        <w:bCs/>
        <w:color w:val="0000CC"/>
        <w:sz w:val="24"/>
        <w:szCs w:val="24"/>
      </w:rPr>
      <w:t> </w:t>
    </w:r>
  </w:p>
  <w:p w:rsidR="001B5E80" w:rsidRPr="00C100B8" w:rsidRDefault="00A2201A" w:rsidP="001B5E80">
    <w:pPr>
      <w:jc w:val="center"/>
      <w:rPr>
        <w:rFonts w:ascii="Verdana" w:hAnsi="Verdana"/>
        <w:color w:val="0000CC"/>
        <w:sz w:val="28"/>
        <w:szCs w:val="28"/>
      </w:rPr>
    </w:pPr>
    <w:r w:rsidRPr="00C100B8">
      <w:rPr>
        <w:rFonts w:ascii="Verdana" w:hAnsi="Verdana"/>
        <w:b/>
        <w:bCs/>
        <w:color w:val="0000CC"/>
        <w:sz w:val="28"/>
        <w:szCs w:val="28"/>
      </w:rPr>
      <w:t>TAMIL NADU ELECTRICITY CONSUMERS’ ASSOCIATION</w:t>
    </w:r>
  </w:p>
  <w:p w:rsidR="001B5E80" w:rsidRDefault="00A2201A" w:rsidP="001B5E80">
    <w:pPr>
      <w:jc w:val="center"/>
      <w:rPr>
        <w:rFonts w:ascii="Verdana" w:hAnsi="Verdana"/>
        <w:color w:val="948A54"/>
        <w:sz w:val="24"/>
        <w:szCs w:val="24"/>
      </w:rPr>
    </w:pPr>
    <w:r>
      <w:rPr>
        <w:rFonts w:ascii="Verdana" w:hAnsi="Verdana"/>
        <w:b/>
        <w:bCs/>
        <w:color w:val="948A54"/>
        <w:sz w:val="24"/>
        <w:szCs w:val="24"/>
      </w:rPr>
      <w:t>Regd. No.</w:t>
    </w:r>
    <w:r>
      <w:rPr>
        <w:rFonts w:ascii="Verdana" w:hAnsi="Verdana"/>
        <w:color w:val="948A54"/>
        <w:sz w:val="24"/>
        <w:szCs w:val="24"/>
      </w:rPr>
      <w:t xml:space="preserve"> 181-8524/1998 – </w:t>
    </w:r>
    <w:r>
      <w:rPr>
        <w:rFonts w:ascii="Verdana" w:hAnsi="Verdana"/>
        <w:b/>
        <w:bCs/>
        <w:color w:val="948A54"/>
        <w:sz w:val="24"/>
        <w:szCs w:val="24"/>
      </w:rPr>
      <w:t>CIN.No.</w:t>
    </w:r>
    <w:r>
      <w:rPr>
        <w:rFonts w:ascii="Verdana" w:hAnsi="Verdana"/>
        <w:color w:val="948A54"/>
        <w:sz w:val="24"/>
        <w:szCs w:val="24"/>
      </w:rPr>
      <w:t xml:space="preserve"> U37102TZ1998GAP008524</w:t>
    </w:r>
  </w:p>
  <w:p w:rsidR="001B5E80" w:rsidRDefault="00A2201A" w:rsidP="001B5E80">
    <w:pPr>
      <w:jc w:val="center"/>
      <w:rPr>
        <w:rFonts w:ascii="Verdana" w:hAnsi="Verdana"/>
        <w:color w:val="948A54"/>
        <w:sz w:val="24"/>
        <w:szCs w:val="24"/>
      </w:rPr>
    </w:pPr>
    <w:r>
      <w:rPr>
        <w:rFonts w:ascii="Verdana" w:hAnsi="Verdana"/>
        <w:color w:val="948A54"/>
        <w:sz w:val="24"/>
        <w:szCs w:val="24"/>
      </w:rPr>
      <w:t>1st Floor, SIEMA Building, 8/4, Race Course, Coimbatore - 641 018</w:t>
    </w:r>
  </w:p>
  <w:p w:rsidR="001B5E80" w:rsidRDefault="00A2201A" w:rsidP="001B5E80">
    <w:pPr>
      <w:jc w:val="center"/>
      <w:rPr>
        <w:rFonts w:ascii="Verdana" w:hAnsi="Verdana"/>
        <w:color w:val="948A54"/>
        <w:sz w:val="24"/>
        <w:szCs w:val="24"/>
      </w:rPr>
    </w:pPr>
    <w:r>
      <w:rPr>
        <w:rFonts w:ascii="Verdana" w:hAnsi="Verdana"/>
        <w:color w:val="948A54"/>
        <w:sz w:val="24"/>
        <w:szCs w:val="24"/>
      </w:rPr>
      <w:t xml:space="preserve">Phone: (0422) 4351400 Mobile No.  9787299000 E-mail: </w:t>
    </w:r>
    <w:hyperlink r:id="rId5" w:history="1">
      <w:r>
        <w:rPr>
          <w:rStyle w:val="Hyperlink"/>
          <w:rFonts w:ascii="Verdana" w:hAnsi="Verdana"/>
          <w:sz w:val="24"/>
          <w:szCs w:val="24"/>
        </w:rPr>
        <w:t>teca@tecaonline.in</w:t>
      </w:r>
    </w:hyperlink>
    <w:r>
      <w:rPr>
        <w:rFonts w:ascii="Verdana" w:hAnsi="Verdana"/>
        <w:color w:val="948A54"/>
        <w:sz w:val="24"/>
        <w:szCs w:val="24"/>
      </w:rPr>
      <w:t xml:space="preserve"> </w:t>
    </w:r>
    <w:proofErr w:type="spellStart"/>
    <w:r>
      <w:rPr>
        <w:rFonts w:ascii="Verdana" w:hAnsi="Verdana"/>
        <w:color w:val="948A54"/>
        <w:sz w:val="24"/>
        <w:szCs w:val="24"/>
      </w:rPr>
      <w:t>Web:www.tecaonline.in</w:t>
    </w:r>
    <w:proofErr w:type="spellEnd"/>
  </w:p>
  <w:p w:rsidR="001B5E80" w:rsidRDefault="003A6027" w:rsidP="001B5E80">
    <w:pPr>
      <w:pStyle w:val="Header"/>
    </w:pPr>
    <w:r>
      <w:rPr>
        <w:rFonts w:ascii="Verdana" w:eastAsia="Times New Roman" w:hAnsi="Verdana"/>
        <w:color w:val="000000"/>
      </w:rPr>
      <w:pict>
        <v:rect id="_x0000_i1025" style="width:468pt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3F24"/>
    <w:multiLevelType w:val="hybridMultilevel"/>
    <w:tmpl w:val="EDFEC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1A"/>
    <w:rsid w:val="00151092"/>
    <w:rsid w:val="001D7D52"/>
    <w:rsid w:val="0031094F"/>
    <w:rsid w:val="003A350B"/>
    <w:rsid w:val="003A6027"/>
    <w:rsid w:val="003B36C8"/>
    <w:rsid w:val="009E5958"/>
    <w:rsid w:val="009F20D2"/>
    <w:rsid w:val="00A2201A"/>
    <w:rsid w:val="00E96FE4"/>
    <w:rsid w:val="00EA3563"/>
    <w:rsid w:val="00F0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A9927"/>
  <w15:chartTrackingRefBased/>
  <w15:docId w15:val="{F4613E70-1E1E-4044-95A7-893110D39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563"/>
    <w:pPr>
      <w:spacing w:after="0" w:line="240" w:lineRule="auto"/>
    </w:pPr>
    <w:rPr>
      <w:rFonts w:ascii="Calibri" w:hAnsi="Calibri" w:cs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0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01A"/>
  </w:style>
  <w:style w:type="character" w:styleId="Hyperlink">
    <w:name w:val="Hyperlink"/>
    <w:basedOn w:val="DefaultParagraphFont"/>
    <w:uiPriority w:val="99"/>
    <w:unhideWhenUsed/>
    <w:rsid w:val="00A2201A"/>
    <w:rPr>
      <w:color w:val="0000FF"/>
      <w:u w:val="single"/>
    </w:rPr>
  </w:style>
  <w:style w:type="paragraph" w:customStyle="1" w:styleId="Default">
    <w:name w:val="Default"/>
    <w:rsid w:val="00A220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EA35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A3563"/>
    <w:rPr>
      <w:rFonts w:ascii="Calibri" w:hAnsi="Calibri" w:cs="Calibri"/>
      <w:lang w:eastAsia="en-IN"/>
    </w:rPr>
  </w:style>
  <w:style w:type="paragraph" w:styleId="ListParagraph">
    <w:name w:val="List Paragraph"/>
    <w:basedOn w:val="Normal"/>
    <w:uiPriority w:val="34"/>
    <w:qFormat/>
    <w:rsid w:val="00EA3563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m-9173357831015966128default">
    <w:name w:val="m_-9173357831015966128default"/>
    <w:basedOn w:val="Normal"/>
    <w:rsid w:val="001D7D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0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jpg@01D97120.A2E97000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teca@tecaonline.in" TargetMode="External"/><Relationship Id="rId4" Type="http://schemas.openxmlformats.org/officeDocument/2006/relationships/image" Target="cid:image004.jpg@01D97120.A2E97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Teca</dc:creator>
  <cp:keywords/>
  <dc:description/>
  <cp:lastModifiedBy>Teca</cp:lastModifiedBy>
  <cp:revision>4</cp:revision>
  <dcterms:created xsi:type="dcterms:W3CDTF">2023-07-07T06:30:00Z</dcterms:created>
  <dcterms:modified xsi:type="dcterms:W3CDTF">2023-07-07T06:37:00Z</dcterms:modified>
</cp:coreProperties>
</file>